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ascii="Arial" w:hAnsi="Arial" w:cs="Arial" w:eastAsiaTheme="minorEastAsia"/>
          <w:b/>
          <w:lang w:val="en-US" w:eastAsia="zh-CN"/>
        </w:rPr>
      </w:pPr>
      <w:bookmarkStart w:id="0" w:name="OLE_LINK24"/>
      <w:bookmarkStart w:id="1" w:name="OLE_LINK33"/>
      <w:bookmarkStart w:id="2" w:name="OLE_LINK13"/>
      <w:bookmarkStart w:id="3" w:name="OLE_LINK34"/>
      <w:bookmarkStart w:id="4" w:name="OLE_LINK12"/>
      <w:r>
        <w:rPr>
          <w:rFonts w:ascii="Arial" w:hAnsi="Arial" w:cs="Arial"/>
          <w:b/>
        </w:rPr>
        <w:t>3GPP TSG-RAN WG2 Meeting #11</w:t>
      </w:r>
      <w:r>
        <w:rPr>
          <w:rFonts w:hint="eastAsia" w:ascii="Arial" w:hAnsi="Arial" w:cs="Arial"/>
          <w:b/>
          <w:lang w:val="en-US" w:eastAsia="zh-CN"/>
        </w:rPr>
        <w:t>6</w:t>
      </w:r>
      <w:r>
        <w:rPr>
          <w:rFonts w:ascii="Arial" w:hAnsi="Arial" w:cs="Arial"/>
          <w:b/>
        </w:rPr>
        <w:t xml:space="preserve"> electronic</w:t>
      </w:r>
      <w:r>
        <w:rPr>
          <w:rFonts w:hint="eastAsia" w:ascii="Arial" w:hAnsi="Arial" w:cs="Arial"/>
          <w:b/>
        </w:rPr>
        <w:t xml:space="preserve"> </w:t>
      </w:r>
      <w:r>
        <w:rPr>
          <w:rFonts w:ascii="Arial" w:hAnsi="Arial" w:cs="Arial"/>
          <w:b/>
        </w:rPr>
        <w:t xml:space="preserve">                            R2-21</w:t>
      </w:r>
      <w:r>
        <w:rPr>
          <w:rFonts w:hint="eastAsia" w:ascii="Arial" w:hAnsi="Arial" w:cs="Arial"/>
          <w:b/>
          <w:lang w:val="en-US" w:eastAsia="zh-CN"/>
        </w:rPr>
        <w:t>09463</w:t>
      </w:r>
    </w:p>
    <w:p>
      <w:pPr>
        <w:snapToGrid w:val="0"/>
        <w:spacing w:after="0" w:line="240" w:lineRule="auto"/>
        <w:rPr>
          <w:rFonts w:ascii="Arial" w:hAnsi="Arial" w:cs="Arial"/>
          <w:b/>
        </w:rPr>
      </w:pPr>
      <w:r>
        <w:rPr>
          <w:rFonts w:ascii="Arial" w:hAnsi="Arial" w:cs="Arial"/>
          <w:b/>
        </w:rPr>
        <w:t xml:space="preserve">Online, </w:t>
      </w:r>
      <w:r>
        <w:rPr>
          <w:rFonts w:hint="eastAsia" w:ascii="Arial" w:hAnsi="Arial" w:cs="Arial"/>
          <w:b/>
          <w:lang w:val="en-US" w:eastAsia="zh-CN"/>
        </w:rPr>
        <w:t>November</w:t>
      </w:r>
      <w:r>
        <w:rPr>
          <w:rFonts w:ascii="Arial" w:hAnsi="Arial" w:cs="Arial"/>
          <w:b/>
        </w:rPr>
        <w:t xml:space="preserve"> </w:t>
      </w:r>
      <w:r>
        <w:rPr>
          <w:rFonts w:hint="eastAsia" w:ascii="Arial" w:hAnsi="Arial" w:cs="Arial"/>
          <w:b/>
          <w:lang w:val="en-US" w:eastAsia="zh-CN"/>
        </w:rPr>
        <w:t>1</w:t>
      </w:r>
      <w:r>
        <w:rPr>
          <w:rFonts w:ascii="Arial" w:hAnsi="Arial" w:cs="Arial"/>
          <w:b/>
        </w:rPr>
        <w:t xml:space="preserve">th – </w:t>
      </w:r>
      <w:r>
        <w:rPr>
          <w:rFonts w:hint="eastAsia" w:ascii="Arial" w:hAnsi="Arial" w:cs="Arial"/>
          <w:b/>
          <w:lang w:val="en-US" w:eastAsia="zh-CN"/>
        </w:rPr>
        <w:t>12</w:t>
      </w:r>
      <w:r>
        <w:rPr>
          <w:rFonts w:ascii="Arial" w:hAnsi="Arial" w:cs="Arial"/>
          <w:b/>
        </w:rPr>
        <w:t>th, 2021</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 Sanechips</w:t>
      </w:r>
    </w:p>
    <w:p>
      <w:pPr>
        <w:tabs>
          <w:tab w:val="center" w:pos="4536"/>
          <w:tab w:val="right" w:pos="8280"/>
          <w:tab w:val="right" w:pos="9639"/>
        </w:tabs>
        <w:snapToGrid w:val="0"/>
        <w:spacing w:after="0" w:line="240" w:lineRule="auto"/>
        <w:ind w:left="1988" w:right="2" w:hanging="1988" w:hangingChars="900"/>
        <w:jc w:val="both"/>
        <w:rPr>
          <w:rFonts w:hint="default" w:ascii="Arial" w:hAnsi="Arial" w:eastAsia="宋体" w:cs="Arial"/>
          <w:b/>
          <w:lang w:val="en-US" w:eastAsia="zh-CN"/>
        </w:rPr>
      </w:pPr>
      <w:r>
        <w:rPr>
          <w:rFonts w:ascii="Arial" w:hAnsi="Arial" w:eastAsia="宋体" w:cs="Arial"/>
          <w:b/>
        </w:rPr>
        <w:t xml:space="preserve">Title:            Discussion on </w:t>
      </w:r>
      <w:r>
        <w:rPr>
          <w:rFonts w:hint="eastAsia" w:ascii="Arial" w:hAnsi="Arial" w:eastAsia="宋体" w:cs="Arial"/>
          <w:b/>
          <w:lang w:val="en-US" w:eastAsia="zh-CN"/>
        </w:rPr>
        <w:t>positioning integrity</w:t>
      </w:r>
    </w:p>
    <w:bookmarkEnd w:id="0"/>
    <w:p>
      <w:pPr>
        <w:tabs>
          <w:tab w:val="center" w:pos="4536"/>
          <w:tab w:val="right" w:pos="8280"/>
          <w:tab w:val="right" w:pos="9639"/>
        </w:tabs>
        <w:snapToGrid w:val="0"/>
        <w:spacing w:after="0" w:line="240" w:lineRule="auto"/>
        <w:ind w:left="442" w:right="2" w:hanging="442" w:hangingChars="200"/>
        <w:jc w:val="both"/>
        <w:rPr>
          <w:rFonts w:hint="eastAsia" w:ascii="Arial" w:hAnsi="Arial" w:eastAsia="宋体" w:cs="Arial"/>
          <w:b/>
          <w:lang w:eastAsia="zh-CN"/>
        </w:rPr>
      </w:pPr>
      <w:r>
        <w:rPr>
          <w:rFonts w:ascii="Arial" w:hAnsi="Arial" w:eastAsia="宋体" w:cs="Arial"/>
          <w:b/>
        </w:rPr>
        <w:t xml:space="preserve">Agenda item:    </w:t>
      </w:r>
      <w:r>
        <w:rPr>
          <w:rFonts w:hint="eastAsia" w:ascii="Arial" w:hAnsi="Arial" w:eastAsia="宋体" w:cs="Arial"/>
          <w:b/>
        </w:rPr>
        <w:t>8.</w:t>
      </w:r>
      <w:r>
        <w:rPr>
          <w:rFonts w:ascii="Arial" w:hAnsi="Arial" w:eastAsia="宋体" w:cs="Arial"/>
          <w:b/>
        </w:rPr>
        <w:t>11</w:t>
      </w:r>
      <w:r>
        <w:rPr>
          <w:rFonts w:hint="eastAsia" w:ascii="Arial" w:hAnsi="Arial" w:eastAsia="宋体" w:cs="Arial"/>
          <w:b/>
        </w:rPr>
        <w:t>.</w:t>
      </w:r>
      <w:r>
        <w:rPr>
          <w:rFonts w:hint="eastAsia" w:ascii="Arial" w:hAnsi="Arial" w:eastAsia="宋体" w:cs="Arial"/>
          <w:b/>
          <w:lang w:val="en-US" w:eastAsia="zh-CN"/>
        </w:rPr>
        <w:t>5</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keepNext w:val="0"/>
        <w:keepLines w:val="0"/>
        <w:pageBreakBefore w:val="0"/>
        <w:kinsoku/>
        <w:wordWrap/>
        <w:overflowPunct/>
        <w:topLinePunct w:val="0"/>
        <w:bidi w:val="0"/>
        <w:adjustRightInd w:val="0"/>
        <w:snapToGrid w:val="0"/>
        <w:spacing w:before="181" w:beforeLines="50" w:after="180" w:afterLines="50"/>
        <w:ind w:left="431" w:hanging="431"/>
        <w:jc w:val="both"/>
        <w:textAlignment w:val="auto"/>
        <w:rPr>
          <w:sz w:val="28"/>
          <w:lang w:val="en-US"/>
        </w:rPr>
      </w:pPr>
      <w:bookmarkStart w:id="5" w:name="OLE_LINK1"/>
      <w:r>
        <w:rPr>
          <w:sz w:val="28"/>
          <w:lang w:val="en-US"/>
        </w:rPr>
        <w:t>Introduction</w:t>
      </w:r>
    </w:p>
    <w:p>
      <w:pPr>
        <w:pStyle w:val="21"/>
        <w:keepNext w:val="0"/>
        <w:keepLines w:val="0"/>
        <w:pageBreakBefore w:val="0"/>
        <w:kinsoku/>
        <w:wordWrap/>
        <w:overflowPunct/>
        <w:topLinePunct w:val="0"/>
        <w:bidi w:val="0"/>
        <w:adjustRightInd w:val="0"/>
        <w:snapToGrid w:val="0"/>
        <w:spacing w:before="181" w:beforeLines="50" w:after="180" w:afterLines="50"/>
        <w:jc w:val="both"/>
        <w:textAlignment w:val="auto"/>
        <w:rPr>
          <w:rFonts w:ascii="Times New Roman" w:hAnsi="Times New Roman" w:eastAsia="宋体"/>
          <w:color w:val="000000"/>
          <w:sz w:val="20"/>
          <w:szCs w:val="20"/>
        </w:rPr>
      </w:pPr>
      <w:r>
        <w:rPr>
          <w:rFonts w:ascii="Times New Roman" w:hAnsi="Times New Roman" w:eastAsia="宋体"/>
          <w:color w:val="000000"/>
          <w:sz w:val="20"/>
          <w:szCs w:val="20"/>
        </w:rPr>
        <w:t>In RAN2#11</w:t>
      </w:r>
      <w:r>
        <w:rPr>
          <w:rFonts w:hint="eastAsia" w:ascii="Times New Roman" w:hAnsi="Times New Roman" w:eastAsia="宋体"/>
          <w:color w:val="000000"/>
          <w:sz w:val="20"/>
          <w:szCs w:val="20"/>
          <w:lang w:val="en-US" w:eastAsia="zh-CN"/>
        </w:rPr>
        <w:t>5</w:t>
      </w:r>
      <w:r>
        <w:rPr>
          <w:rFonts w:ascii="Times New Roman" w:hAnsi="Times New Roman" w:eastAsia="宋体"/>
          <w:color w:val="000000"/>
          <w:sz w:val="20"/>
          <w:szCs w:val="20"/>
        </w:rPr>
        <w:t>-e meeting</w:t>
      </w:r>
      <w:r>
        <w:rPr>
          <w:rFonts w:hint="eastAsia" w:ascii="Times New Roman" w:hAnsi="Times New Roman" w:eastAsia="宋体"/>
          <w:color w:val="000000"/>
          <w:sz w:val="20"/>
          <w:szCs w:val="20"/>
          <w:lang w:val="en-US" w:eastAsia="zh-CN"/>
        </w:rPr>
        <w:t>[1]</w:t>
      </w:r>
      <w:r>
        <w:rPr>
          <w:rFonts w:ascii="Times New Roman" w:hAnsi="Times New Roman" w:eastAsia="宋体"/>
          <w:color w:val="000000"/>
          <w:sz w:val="20"/>
          <w:szCs w:val="20"/>
        </w:rPr>
        <w:t xml:space="preserve">, the following agreements were achieved for </w:t>
      </w:r>
      <w:r>
        <w:rPr>
          <w:rFonts w:hint="eastAsia" w:ascii="Times New Roman" w:hAnsi="Times New Roman" w:eastAsia="宋体"/>
          <w:color w:val="000000"/>
          <w:sz w:val="20"/>
          <w:szCs w:val="20"/>
          <w:lang w:val="en-US" w:eastAsia="zh-CN"/>
        </w:rPr>
        <w:t>positioning integrity</w:t>
      </w:r>
      <w:r>
        <w:rPr>
          <w:rFonts w:ascii="Times New Roman" w:hAnsi="Times New Roman" w:eastAsia="宋体"/>
          <w:color w:val="000000"/>
          <w:sz w:val="20"/>
          <w:szCs w:val="20"/>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1"/>
              <w:keepNext w:val="0"/>
              <w:keepLines w:val="0"/>
              <w:pageBreakBefore w:val="0"/>
              <w:kinsoku/>
              <w:wordWrap/>
              <w:overflowPunct/>
              <w:topLinePunct w:val="0"/>
              <w:bidi w:val="0"/>
              <w:adjustRightInd w:val="0"/>
              <w:snapToGrid w:val="0"/>
              <w:spacing w:before="181" w:beforeLines="50" w:after="180" w:afterLines="5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Agreements:</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1: Agree that the GNSS feared events will be addressed in the WI.</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2 (modified): Agree that all for A-GNSS positioning methods, positioning integrity determination is supported in LPP.</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3: Agree that additional IEs are needed in LPP to support A-GNSS positioning integrity determination.</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4: The specific algorithms used for positioning integrity shall be up to implementation.</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5: For interoperability, the use of “hard-coded” parameters should be minimized and instead the needed parameters should be sent explicitly in the assistance data.</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6: RAN2 agrees that the PL will be reported in the Integrity Results. It is FFS whether Mode 2 and the TIR, AL, TTA that were used in the integrity calculation will also be reported in the integrity results.</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 xml:space="preserve">Proposal 8: Agree that the UE feared events will be handled in the implementation for UE-based (network-assisted) methods of positioning integrity determination. </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10: Agree that the LMF feared events can be handled via implementation for the UE-based (network-assisted) and UE-assisted (LMF-based) methods of positioning integrity determination.</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11: RAN2 agrees to use Common Positioning IEs to transfer the KPIs and Integrity Results.</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12: RAN2 agrees that the LPP procedures can be used to transfer the KPIs and Integrity Results. For UE-assisted, the LCS procedures remain FFS in the case of MO-LR.</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In Rel-17, we do not address the data transmission feared event (i.e. we rely on the system’s existing methods for assuring data integrity)</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1:</w:t>
            </w:r>
            <w:r>
              <w:rPr>
                <w:rFonts w:hint="eastAsia" w:ascii="Times New Roman" w:hAnsi="Times New Roman" w:eastAsia="宋体"/>
                <w:color w:val="000000"/>
                <w:sz w:val="20"/>
                <w:szCs w:val="20"/>
                <w:vertAlign w:val="baseline"/>
              </w:rPr>
              <w:tab/>
            </w:r>
            <w:r>
              <w:rPr>
                <w:rFonts w:hint="eastAsia" w:ascii="Times New Roman" w:hAnsi="Times New Roman" w:eastAsia="宋体"/>
                <w:color w:val="000000"/>
                <w:sz w:val="20"/>
                <w:szCs w:val="20"/>
                <w:vertAlign w:val="baseline"/>
              </w:rPr>
              <w:t xml:space="preserve">The support of GNSS integrity is enabled by using existing NG-RAN positioning architecture. </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2:</w:t>
            </w:r>
            <w:r>
              <w:rPr>
                <w:rFonts w:hint="eastAsia" w:ascii="Times New Roman" w:hAnsi="Times New Roman" w:eastAsia="宋体"/>
                <w:color w:val="000000"/>
                <w:sz w:val="20"/>
                <w:szCs w:val="20"/>
                <w:vertAlign w:val="baseline"/>
              </w:rPr>
              <w:tab/>
            </w:r>
            <w:r>
              <w:rPr>
                <w:rFonts w:hint="eastAsia" w:ascii="Times New Roman" w:hAnsi="Times New Roman" w:eastAsia="宋体"/>
                <w:color w:val="000000"/>
                <w:sz w:val="20"/>
                <w:szCs w:val="20"/>
                <w:vertAlign w:val="baseline"/>
              </w:rPr>
              <w:t xml:space="preserve">Any additional functional elements, positioning/integrity modes, etc. should be introduced only when needed. </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3 (modified):</w:t>
            </w:r>
            <w:r>
              <w:rPr>
                <w:rFonts w:hint="eastAsia" w:ascii="Times New Roman" w:hAnsi="Times New Roman" w:eastAsia="宋体"/>
                <w:color w:val="000000"/>
                <w:sz w:val="20"/>
                <w:szCs w:val="20"/>
                <w:vertAlign w:val="baseline"/>
              </w:rPr>
              <w:tab/>
            </w:r>
            <w:r>
              <w:rPr>
                <w:rFonts w:hint="eastAsia" w:ascii="Times New Roman" w:hAnsi="Times New Roman" w:eastAsia="宋体"/>
                <w:color w:val="000000"/>
                <w:sz w:val="20"/>
                <w:szCs w:val="20"/>
                <w:vertAlign w:val="baseline"/>
              </w:rPr>
              <w:t>Separate procedures for "A-GNSS Positioning Integrity" as proposed in R2-2107503 will not be defined; the existing A-GNSS (and general location) Procedures are applicable/sufficient.</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4 (modified):</w:t>
            </w:r>
            <w:r>
              <w:rPr>
                <w:rFonts w:hint="eastAsia" w:ascii="Times New Roman" w:hAnsi="Times New Roman" w:eastAsia="宋体"/>
                <w:color w:val="000000"/>
                <w:sz w:val="20"/>
                <w:szCs w:val="20"/>
                <w:vertAlign w:val="baseline"/>
              </w:rPr>
              <w:tab/>
            </w:r>
            <w:r>
              <w:rPr>
                <w:rFonts w:hint="eastAsia" w:ascii="Times New Roman" w:hAnsi="Times New Roman" w:eastAsia="宋体"/>
                <w:color w:val="000000"/>
                <w:sz w:val="20"/>
                <w:szCs w:val="20"/>
                <w:vertAlign w:val="baseline"/>
              </w:rPr>
              <w:t>RAN2 confirms that LPP messages RequestLocationInformation and ProvideLocationInformation are used to transfer integrity KPIs/results, respectively, for GNSS positioning at least for UE-based mode.</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5 (modified):</w:t>
            </w:r>
            <w:r>
              <w:rPr>
                <w:rFonts w:hint="eastAsia" w:ascii="Times New Roman" w:hAnsi="Times New Roman" w:eastAsia="宋体"/>
                <w:color w:val="000000"/>
                <w:sz w:val="20"/>
                <w:szCs w:val="20"/>
                <w:vertAlign w:val="baseline"/>
              </w:rPr>
              <w:tab/>
            </w:r>
            <w:r>
              <w:rPr>
                <w:rFonts w:hint="eastAsia" w:ascii="Times New Roman" w:hAnsi="Times New Roman" w:eastAsia="宋体"/>
                <w:color w:val="000000"/>
                <w:sz w:val="20"/>
                <w:szCs w:val="20"/>
                <w:vertAlign w:val="baseline"/>
              </w:rPr>
              <w:t>RAN2 confirms that LPP messages RequestAssistanceData and ProvideAssistanceData are used to transfer integrity assistance data for GNSS positioning at least for UE-based mode.</w:t>
            </w:r>
          </w:p>
        </w:tc>
      </w:tr>
    </w:tbl>
    <w:p>
      <w:pPr>
        <w:pageBreakBefore w:val="0"/>
        <w:kinsoku/>
        <w:wordWrap/>
        <w:overflowPunct/>
        <w:topLinePunct w:val="0"/>
        <w:bidi w:val="0"/>
        <w:adjustRightInd w:val="0"/>
        <w:snapToGrid w:val="0"/>
        <w:spacing w:before="181" w:beforeLines="50" w:after="181" w:afterLines="50" w:line="240" w:lineRule="auto"/>
        <w:jc w:val="both"/>
        <w:textAlignment w:val="auto"/>
        <w:rPr>
          <w:sz w:val="20"/>
          <w:szCs w:val="20"/>
        </w:rPr>
      </w:pPr>
      <w:r>
        <w:rPr>
          <w:rFonts w:ascii="Times New Roman" w:hAnsi="Times New Roman" w:eastAsia="宋体"/>
          <w:color w:val="000000"/>
          <w:sz w:val="20"/>
          <w:szCs w:val="20"/>
        </w:rPr>
        <w:t xml:space="preserve">The intention of this contribution is to share our views on the </w:t>
      </w:r>
      <w:r>
        <w:rPr>
          <w:rFonts w:hint="eastAsia" w:ascii="Times New Roman" w:hAnsi="Times New Roman" w:eastAsia="宋体"/>
          <w:color w:val="000000"/>
          <w:sz w:val="20"/>
          <w:szCs w:val="20"/>
          <w:lang w:val="en-US" w:eastAsia="zh-CN"/>
        </w:rPr>
        <w:t>remaining issues of positioning integrity</w:t>
      </w:r>
      <w:r>
        <w:rPr>
          <w:rFonts w:ascii="Times New Roman" w:hAnsi="Times New Roman" w:eastAsia="宋体"/>
          <w:sz w:val="20"/>
          <w:szCs w:val="20"/>
          <w:lang w:val="en-GB" w:eastAsia="en-GB"/>
        </w:rPr>
        <w:t>.</w:t>
      </w:r>
    </w:p>
    <w:bookmarkEnd w:id="5"/>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r>
        <w:rPr>
          <w:sz w:val="28"/>
          <w:lang w:val="en-US"/>
        </w:rPr>
        <w:t>Discussion</w:t>
      </w:r>
    </w:p>
    <w:p>
      <w:pPr>
        <w:pStyle w:val="3"/>
        <w:pageBreakBefore w:val="0"/>
        <w:numPr>
          <w:ilvl w:val="1"/>
          <w:numId w:val="1"/>
        </w:numPr>
        <w:kinsoku/>
        <w:wordWrap/>
        <w:overflowPunct/>
        <w:topLinePunct w:val="0"/>
        <w:bidi w:val="0"/>
        <w:adjustRightInd w:val="0"/>
        <w:snapToGrid w:val="0"/>
        <w:spacing w:before="181" w:beforeLines="50" w:after="181" w:afterLines="50" w:line="240" w:lineRule="auto"/>
        <w:jc w:val="both"/>
        <w:textAlignment w:val="auto"/>
        <w:rPr>
          <w:rFonts w:ascii="Arial" w:hAnsi="Arial" w:cs="Arial"/>
          <w:sz w:val="24"/>
          <w:szCs w:val="24"/>
        </w:rPr>
      </w:pPr>
      <w:r>
        <w:rPr>
          <w:rFonts w:hint="eastAsia" w:ascii="Arial" w:hAnsi="Arial" w:cs="Arial"/>
          <w:sz w:val="24"/>
          <w:szCs w:val="24"/>
          <w:lang w:val="en-US" w:eastAsia="zh-CN"/>
        </w:rPr>
        <w:t>LMF-based integrity</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In last meeting, there is a remaining issue about whether to support LMF-based integrity. In Rel-17, A-GNSS positioning method supports both UE-based mode and UE-assist mode(LMF-based mode). In order to align with these two modes, the UE-based integrity and LMF-based integrity should both be supported in Rel-17. On the other hand, LMF-based integrity is benefit for the further progress, i.e., Rel-18 positioning integrity applied in RAT-dependent positioning methods. For example, UL-TDOA can only be a LMF-based method. To save cumbersome signalling transfer procedures between LMF and UE, LMF-based integrity should be supported at least for LMF-based positioning methods as a baseline.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Proposal 1: Support LMF-based integrity for A-GNSS positioning integrity.</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The RAN2 specification impact of LMF-based positioning integrity mainly lies in the signaling interaction between UE and LMF. For MT-LR and MO-LR, the signalling of feared event, KPIs and integrity result transfer are quite different. The typical procedures of MT-LR and MO-LR are given as follows:</w:t>
      </w:r>
    </w:p>
    <w:p>
      <w:pPr>
        <w:pageBreakBefore w:val="0"/>
        <w:numPr>
          <w:ilvl w:val="0"/>
          <w:numId w:val="4"/>
        </w:numPr>
        <w:kinsoku/>
        <w:wordWrap/>
        <w:overflowPunct/>
        <w:topLinePunct w:val="0"/>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eastAsia="宋体"/>
          <w:color w:val="000000"/>
          <w:sz w:val="20"/>
          <w:szCs w:val="20"/>
          <w:u w:val="single"/>
          <w:lang w:val="en-US" w:eastAsia="zh-CN"/>
        </w:rPr>
      </w:pPr>
      <w:r>
        <w:rPr>
          <w:rFonts w:hint="eastAsia" w:ascii="Times New Roman" w:hAnsi="Times New Roman" w:eastAsia="宋体"/>
          <w:color w:val="000000"/>
          <w:sz w:val="20"/>
          <w:szCs w:val="20"/>
          <w:u w:val="single"/>
          <w:lang w:val="en-US" w:eastAsia="zh-CN"/>
        </w:rPr>
        <w:t xml:space="preserve">MT-LR &amp; LMF based positioning integrity determination </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UE reports feared events to LMF</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 xml:space="preserve">UE detects GNSS feared events and UE feared events, and reports them to LMF for PL calculation. </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UE reports GNSS measurement result to LMF</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UE receives GNSS signals and performs GNSS measurement. Then, UE reports GNSS measurement result to LMF via ProvideLocationInformation message. In addition, the feared event can be reported together with GNSS measurement result.</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LMF calculates the integrity result</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Since LMF is aware of KPIs, therefore when LMF receives feared events and the GNSS measurement result, LMF can calculate the PL value based on the input.</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LMF tells the integrity result to external LCS client</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If there is any LCS client, LMF finally reports the integrity result to the external LCS client. There is no RAN2 spec impact at this step.</w:t>
      </w:r>
    </w:p>
    <w:p>
      <w:pPr>
        <w:pageBreakBefore w:val="0"/>
        <w:numPr>
          <w:ilvl w:val="0"/>
          <w:numId w:val="4"/>
        </w:numPr>
        <w:kinsoku/>
        <w:wordWrap/>
        <w:overflowPunct/>
        <w:topLinePunct w:val="0"/>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eastAsia="宋体"/>
          <w:color w:val="000000"/>
          <w:sz w:val="20"/>
          <w:szCs w:val="20"/>
          <w:u w:val="single"/>
          <w:lang w:val="en-US" w:eastAsia="zh-CN"/>
        </w:rPr>
      </w:pPr>
      <w:r>
        <w:rPr>
          <w:rFonts w:hint="eastAsia" w:ascii="Times New Roman" w:hAnsi="Times New Roman" w:eastAsia="宋体"/>
          <w:color w:val="000000"/>
          <w:sz w:val="20"/>
          <w:szCs w:val="20"/>
          <w:u w:val="single"/>
          <w:lang w:val="en-US" w:eastAsia="zh-CN"/>
        </w:rPr>
        <w:t xml:space="preserve">MO-LR &amp; LMF based positioning integrity determination </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UE reports feared events and KPIs to LMF</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In MO-LR, UE is the LCS client, so UE knows the required KPI. At this step, UE reports UE feared events, GNSS feared events and KPIs to LMF for PL calculation, or for integrity flag decision.</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UE reports GNSS measurement result to LMF</w:t>
      </w:r>
      <w:bookmarkStart w:id="6" w:name="_GoBack"/>
      <w:bookmarkEnd w:id="6"/>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UE receives GNSS signals and performs GNSS measurement. Then, UE reports GNSS measurement result to LMF via ProvideLocationInformation message. In addition, UE feared event, GNSS feared event and KPIs can be reported together with GNSS measurement result.</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LMF calculates the integrity result</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When LMF receives feared events and the GNSS measurement result, LMF can calculate the PL value based on the input.</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LMF tells UE the the integrity result</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pPr>
      <w:r>
        <w:rPr>
          <w:rFonts w:hint="eastAsia" w:ascii="Times New Roman" w:hAnsi="Times New Roman" w:eastAsia="宋体"/>
          <w:color w:val="000000"/>
          <w:sz w:val="20"/>
          <w:szCs w:val="20"/>
          <w:lang w:val="en-US" w:eastAsia="zh-CN"/>
        </w:rPr>
        <w:t>The final step is to transfer the integrity result from LMF to UE, which initiates the MO-LR request. This can be transferred via ProvideAssistanceData message.</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Based on the above procedures, MT-LR and LMF-based integrity have simpler procedure than MO-LR, especially in the final step. Therefore, if LMF-based integrity is to be supported, MT-LR based solution should be prioritized.</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 xml:space="preserve">Proposal 2: Support to prioritize MT-LR and LMF-based integrity. </w:t>
      </w:r>
    </w:p>
    <w:p>
      <w:pPr>
        <w:pStyle w:val="3"/>
        <w:pageBreakBefore w:val="0"/>
        <w:numPr>
          <w:ilvl w:val="1"/>
          <w:numId w:val="1"/>
        </w:numPr>
        <w:kinsoku/>
        <w:wordWrap/>
        <w:overflowPunct/>
        <w:topLinePunct w:val="0"/>
        <w:bidi w:val="0"/>
        <w:adjustRightInd w:val="0"/>
        <w:snapToGrid w:val="0"/>
        <w:spacing w:before="181" w:beforeLines="50" w:after="181" w:afterLines="50" w:line="240" w:lineRule="auto"/>
        <w:textAlignment w:val="auto"/>
        <w:rPr>
          <w:rFonts w:ascii="Arial" w:hAnsi="Arial" w:cs="Arial"/>
          <w:sz w:val="24"/>
          <w:szCs w:val="24"/>
        </w:rPr>
      </w:pPr>
      <w:r>
        <w:rPr>
          <w:rFonts w:hint="eastAsia" w:ascii="Arial" w:hAnsi="Arial" w:cs="Arial"/>
          <w:sz w:val="24"/>
          <w:szCs w:val="24"/>
          <w:lang w:val="en-US" w:eastAsia="zh-CN"/>
        </w:rPr>
        <w:t>Integrity results reporting</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 xml:space="preserve">In last meeting, there is a view that UE should report achieved KPIs together with integrity results (PL or integrity flag). However, we believe positioning integrity is like a </w:t>
      </w:r>
      <w:r>
        <w:rPr>
          <w:rFonts w:hint="default"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1 or 0</w:t>
      </w:r>
      <w:r>
        <w:rPr>
          <w:rFonts w:hint="default"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 xml:space="preserve"> feature for LCS client. That is to say, LCS client may only want to know whether the current positioning session satisfies the positioning integrity and can be normally used or not. If one set of KPIs is much likely to beyond UE</w:t>
      </w:r>
      <w:r>
        <w:rPr>
          <w:rFonts w:hint="default"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s reach, LCS client can send multiple sets of KPIs with different degrees of achieving difficulty. By the means of quantization, UE only needs to transmit degrees of achieved KPIs rather than actual KPI values, which eases the burden of integrity determination of LCS client.</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Proposal 3:Do not support to report achieved KPIs together with integrity results.</w:t>
      </w:r>
    </w:p>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r>
        <w:rPr>
          <w:rFonts w:hint="eastAsia"/>
          <w:sz w:val="28"/>
          <w:lang w:val="en-US"/>
        </w:rPr>
        <w:t>Conclusions</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sz w:val="20"/>
          <w:szCs w:val="20"/>
          <w:lang w:val="en-US" w:eastAsia="zh-CN"/>
        </w:rPr>
      </w:pPr>
      <w:r>
        <w:rPr>
          <w:rFonts w:ascii="Times New Roman" w:hAnsi="Times New Roman"/>
          <w:sz w:val="20"/>
          <w:szCs w:val="20"/>
        </w:rPr>
        <w:t xml:space="preserve">In this contribution, </w:t>
      </w:r>
      <w:r>
        <w:rPr>
          <w:rFonts w:ascii="Times New Roman" w:hAnsi="Times New Roman" w:eastAsia="宋体"/>
          <w:sz w:val="20"/>
          <w:szCs w:val="20"/>
          <w:lang w:val="en-GB" w:eastAsia="en-GB"/>
        </w:rPr>
        <w:t xml:space="preserve">we provide our views </w:t>
      </w:r>
      <w:r>
        <w:rPr>
          <w:rFonts w:hint="eastAsia" w:ascii="Times New Roman" w:hAnsi="Times New Roman" w:eastAsia="宋体"/>
          <w:sz w:val="20"/>
          <w:szCs w:val="20"/>
          <w:lang w:val="en-US" w:eastAsia="zh-CN"/>
        </w:rPr>
        <w:t>positioning integrity</w:t>
      </w:r>
      <w:r>
        <w:rPr>
          <w:rFonts w:ascii="Times New Roman" w:hAnsi="Times New Roman" w:eastAsia="宋体"/>
          <w:sz w:val="20"/>
          <w:szCs w:val="20"/>
          <w:lang w:val="en-GB" w:eastAsia="en-GB"/>
        </w:rPr>
        <w:t xml:space="preserve"> and make the following proposals</w:t>
      </w:r>
      <w:r>
        <w:rPr>
          <w:rFonts w:hint="eastAsia" w:ascii="Times New Roman" w:hAnsi="Times New Roman" w:eastAsia="宋体"/>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Proposal 1: support LMF-based integrity for A-GNSS positioning integrity.</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 xml:space="preserve">Proposal 2: Support to prioritize MT-LR and LMF-based integrity. </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Proposal 3:Do not support to report achieved KPIs together with integrity results.</w:t>
      </w:r>
    </w:p>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r>
        <w:rPr>
          <w:rFonts w:hint="eastAsia"/>
          <w:sz w:val="28"/>
          <w:lang w:val="en-US"/>
        </w:rPr>
        <w:t>References</w:t>
      </w:r>
    </w:p>
    <w:p>
      <w:pPr>
        <w:pageBreakBefore w:val="0"/>
        <w:numPr>
          <w:ilvl w:val="0"/>
          <w:numId w:val="5"/>
        </w:numPr>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eastAsia="宋体"/>
          <w:sz w:val="20"/>
          <w:szCs w:val="20"/>
          <w:lang w:val="en-GB" w:eastAsia="en-GB"/>
        </w:rPr>
      </w:pPr>
      <w:r>
        <w:rPr>
          <w:rFonts w:ascii="Times New Roman" w:hAnsi="Times New Roman" w:eastAsia="宋体"/>
          <w:sz w:val="20"/>
          <w:szCs w:val="20"/>
          <w:lang w:val="en-GB" w:eastAsia="en-GB"/>
        </w:rPr>
        <w:t>Report of 3GPP TSG RAN WG2 meeting #11</w:t>
      </w:r>
      <w:r>
        <w:rPr>
          <w:rFonts w:hint="eastAsia" w:ascii="Times New Roman" w:hAnsi="Times New Roman" w:eastAsia="宋体"/>
          <w:sz w:val="20"/>
          <w:szCs w:val="20"/>
          <w:lang w:val="en-US" w:eastAsia="zh-CN"/>
        </w:rPr>
        <w:t>5</w:t>
      </w:r>
      <w:r>
        <w:rPr>
          <w:rFonts w:ascii="Times New Roman" w:hAnsi="Times New Roman" w:eastAsia="宋体"/>
          <w:sz w:val="20"/>
          <w:szCs w:val="20"/>
          <w:lang w:val="en-GB" w:eastAsia="en-GB"/>
        </w:rPr>
        <w:t>-e, Online</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FE8BC3"/>
    <w:multiLevelType w:val="multilevel"/>
    <w:tmpl w:val="ACFE8BC3"/>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A8117F4"/>
    <w:multiLevelType w:val="singleLevel"/>
    <w:tmpl w:val="EA8117F4"/>
    <w:lvl w:ilvl="0" w:tentative="0">
      <w:start w:val="1"/>
      <w:numFmt w:val="decimal"/>
      <w:suff w:val="space"/>
      <w:lvlText w:val="[%1]"/>
      <w:lvlJc w:val="left"/>
    </w:lvl>
  </w:abstractNum>
  <w:abstractNum w:abstractNumId="2">
    <w:nsid w:val="2CCCB703"/>
    <w:multiLevelType w:val="singleLevel"/>
    <w:tmpl w:val="2CCCB703"/>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3">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629"/>
    <w:rsid w:val="000D1708"/>
    <w:rsid w:val="000D17F4"/>
    <w:rsid w:val="000D1B9D"/>
    <w:rsid w:val="000D211B"/>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5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2533"/>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DC6"/>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F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6B44"/>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E51"/>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808"/>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5"/>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4CC"/>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F9"/>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B8"/>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0E43"/>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A1"/>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71"/>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7F"/>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D5F"/>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0C6F"/>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8BA"/>
    <w:rsid w:val="00766FB5"/>
    <w:rsid w:val="00767463"/>
    <w:rsid w:val="0076747D"/>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4B4"/>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652"/>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B4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7F9"/>
    <w:rsid w:val="00853965"/>
    <w:rsid w:val="00853C42"/>
    <w:rsid w:val="00853D15"/>
    <w:rsid w:val="00853EB9"/>
    <w:rsid w:val="008540DB"/>
    <w:rsid w:val="008541E7"/>
    <w:rsid w:val="00854217"/>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6F"/>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0DB"/>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42F"/>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4FA4"/>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539"/>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DFA"/>
    <w:rsid w:val="00984E99"/>
    <w:rsid w:val="009851EA"/>
    <w:rsid w:val="00985670"/>
    <w:rsid w:val="009857F2"/>
    <w:rsid w:val="009858D1"/>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486"/>
    <w:rsid w:val="009B472D"/>
    <w:rsid w:val="009B4855"/>
    <w:rsid w:val="009B4985"/>
    <w:rsid w:val="009B4D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956"/>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3"/>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1FE8"/>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4D5"/>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81D"/>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48"/>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83E"/>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64D"/>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09"/>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464"/>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5C3"/>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7F6"/>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16"/>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A83"/>
    <w:rsid w:val="00D44BAA"/>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A5F"/>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6AB0"/>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4DB"/>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97"/>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44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0E5"/>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2C2"/>
    <w:rsid w:val="00FA0405"/>
    <w:rsid w:val="00FA0E59"/>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6A"/>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934E4"/>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37115"/>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268CB"/>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3546A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3F02E9"/>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50321"/>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968F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93E5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274C7"/>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8C53B7"/>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7676B"/>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260FF"/>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94A89"/>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EF0E4B"/>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D7E06"/>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1690"/>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0E5C25"/>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033F"/>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0A89"/>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5507E0"/>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1F5177"/>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971559"/>
    <w:rsid w:val="3BA23EEE"/>
    <w:rsid w:val="3BA866BF"/>
    <w:rsid w:val="3BB438AE"/>
    <w:rsid w:val="3BB67C98"/>
    <w:rsid w:val="3BBD3102"/>
    <w:rsid w:val="3BC16595"/>
    <w:rsid w:val="3BC21EE9"/>
    <w:rsid w:val="3BC52358"/>
    <w:rsid w:val="3BD82617"/>
    <w:rsid w:val="3BD9608B"/>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553A2"/>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0355C"/>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7C07B2"/>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7B3835"/>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30C79"/>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72506"/>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EC3BC6"/>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3D5374"/>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16594"/>
    <w:rsid w:val="5C152995"/>
    <w:rsid w:val="5C1A0B69"/>
    <w:rsid w:val="5C1D11A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C0FEC"/>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BC3C6D"/>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B2C81"/>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24BC2"/>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3E57"/>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155B7"/>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836D6"/>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E55C24"/>
    <w:rsid w:val="68F3092C"/>
    <w:rsid w:val="690071B5"/>
    <w:rsid w:val="69007486"/>
    <w:rsid w:val="690120D7"/>
    <w:rsid w:val="69072F35"/>
    <w:rsid w:val="690916D6"/>
    <w:rsid w:val="690952C8"/>
    <w:rsid w:val="690978EC"/>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81CFB"/>
    <w:rsid w:val="6BA9582F"/>
    <w:rsid w:val="6BB176F7"/>
    <w:rsid w:val="6BB17E5A"/>
    <w:rsid w:val="6BB35690"/>
    <w:rsid w:val="6BB735FA"/>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A29FE"/>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158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032F8"/>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A53D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BD3E16"/>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A705B"/>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14172"/>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AD70F9"/>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3710C"/>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454AB"/>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57"/>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character" w:customStyle="1" w:styleId="96">
    <w:name w:val="Doc-text2 Char Char"/>
    <w:basedOn w:val="25"/>
    <w:qFormat/>
    <w:uiPriority w:val="0"/>
    <w:rPr>
      <w:rFonts w:ascii="Arial" w:hAnsi="Arial" w:eastAsia="MS Mincho"/>
      <w:szCs w:val="24"/>
      <w:lang w:val="en-GB" w:eastAsia="en-GB"/>
    </w:rPr>
  </w:style>
  <w:style w:type="paragraph" w:customStyle="1" w:styleId="97">
    <w:name w:val="List Paragraph3"/>
    <w:basedOn w:val="1"/>
    <w:qFormat/>
    <w:uiPriority w:val="0"/>
    <w:pPr>
      <w:spacing w:before="100" w:beforeAutospacing="1" w:after="0" w:line="240" w:lineRule="auto"/>
      <w:ind w:left="720"/>
    </w:pPr>
    <w:rPr>
      <w:rFonts w:eastAsia="宋体"/>
    </w:rPr>
  </w:style>
  <w:style w:type="paragraph" w:customStyle="1" w:styleId="98">
    <w:name w:val="TF"/>
    <w:basedOn w:val="58"/>
    <w:qFormat/>
    <w:uiPriority w:val="0"/>
    <w:pPr>
      <w:keepNext w:val="0"/>
      <w:spacing w:before="0" w:after="24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7366DC-9570-4C35-9E50-959668670D8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1024</Words>
  <Characters>5843</Characters>
  <Lines>48</Lines>
  <Paragraphs>13</Paragraphs>
  <TotalTime>196</TotalTime>
  <ScaleCrop>false</ScaleCrop>
  <LinksUpToDate>false</LinksUpToDate>
  <CharactersWithSpaces>6854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ZTE-Yu Pan</cp:lastModifiedBy>
  <dcterms:modified xsi:type="dcterms:W3CDTF">2021-10-19T02:40:55Z</dcterms:modified>
  <cp:revision>405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